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906"/>
        <w:gridCol w:w="958"/>
        <w:gridCol w:w="1024"/>
        <w:gridCol w:w="840"/>
        <w:gridCol w:w="919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1575"/>
      </w:tblGrid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1973" w:type="dxa"/>
            <w:vMerge w:val="restart"/>
            <w:gridSpan w:val="1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1973" w:type="dxa"/>
            <w:vMerge w:val="continue"/>
            <w:gridSpan w:val="1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0503737</w:t>
            </w:r>
          </w:p>
        </w:tc>
      </w:tr>
      <w:tr>
        <w:trPr>
          <w:trHeight w:val="225" w:hRule="atLeast"/>
        </w:trPr>
        <w:tc>
          <w:tcPr>
            <w:tcW w:w="5566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«01» января 2017 г.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01.01.2017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МОУ ДО "ЦВР "Юность"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48345872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Городской округ "Город Комсомольск-на-Амуре"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08709000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</w:r>
          </w:p>
        </w:tc>
        <w:tc>
          <w:tcPr>
            <w:tcW w:w="8245" w:type="dxa"/>
            <w:vMerge w:val="restart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Управление по физичекой культуре, спорту и молодёжной политике администрации города Комсомольска-на-Амуре Хабаровского края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ющего полномочия учредителя</w:t>
            </w:r>
          </w:p>
        </w:tc>
        <w:tc>
          <w:tcPr>
            <w:tcW w:w="8245" w:type="dxa"/>
            <w:vMerge w:val="continue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Управление по физичекой культуре, спорту и молодёжной политике администрации города Комсомольска-на-Амуре Хабаровского края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035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на иные цели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225" w:hRule="atLeast"/>
        </w:trPr>
        <w:tc>
          <w:tcPr>
            <w:tcW w:w="2993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4647" w:type="dxa"/>
            <w:gridSpan w:val="5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7326" w:type="dxa"/>
            <w:gridSpan w:val="9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1. Доходы учреждения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203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-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2 469 335,00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1 763 858,90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1 763 858,90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705 476,10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2 469 335,00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1 763 858,90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1 763 858,90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705 476,10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>Форма 0503737  с.2</w:t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4647" w:type="dxa"/>
            <w:gridSpan w:val="5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9768" w:type="dxa"/>
            <w:gridSpan w:val="12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учреждения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-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2 469 335,00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1 763 858,90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1 763 858,90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705 476,10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left w:val="single" w:sz="5" w:space="0" w:color="auto"/>
            </w:tcBorders>
          </w:tcPr>
          <w:p>
            <w:pPr>
              <w:ind w:left="4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lef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  <w:tcBorders>
              <w:left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563 410,00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357 943,90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357 943,90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205 466,10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1 905 925,00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1 405 915,00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1 405 915,00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500 010,00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Результат исполнения  (дефицит / профицит)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919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p>
        <w:r>
          <w:br w:type="page"/>
        </w:r>
      </w:p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647" w:type="dxa"/>
            <w:gridSpan w:val="5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954" w:type="dxa"/>
            <w:gridSpan w:val="11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>Форма 0503737  с.3</w:t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698" w:type="dxa"/>
            <w:gridSpan w:val="7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средств учреждения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106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Источники финансирования дефицита средств - всего (стр. 520 + стр.590+ стр. 620 + стр. 700 + стр. 730 + стр. 820 + стр. 830)</w:t>
              <w:br/>
              <w:t>
 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Внутренние источники</w:t>
              <w:br/>
              <w:t>
     из них: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Движение денежных средств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поступление денежных средств прочие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выбытие денежных средств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Внешние источники</w:t>
              <w:br/>
              <w:t>
     из них: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-1 770 744,90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-1 770 744,90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1 770 744,90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1 770 744,90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по внутренним оборотам средств учреждения</w:t>
              <w:br/>
              <w:t>
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учреждения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по внутренним расчетам</w:t>
              <w:br/>
              <w:t>
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по внутренним расчетам (Кт 030404510)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по внутренним расчетам (Дт 030404610)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>Форма 0503737  с.4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расчетов по внутренним привлечениям средств</w:t>
              <w:br/>
              <w:t>
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831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832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512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4. Сведения о возвратах остатков субсидий и расходов  прошлых лет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 Произведено возвратов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Возвращено остатков субсидий прошлых лет, всего</w:t>
              <w:br/>
              <w:t>
     из них по кодам аналитики:</w:t>
              <w:br/>
              <w:t>
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910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left w:val="single" w:sz="10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911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Возвращено расходов прошлых лет, всего</w:t>
              <w:br/>
              <w:t>
     из них по кодам аналитики: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950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left w:val="single" w:sz="10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951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Е.В. Ткачук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vMerge w:val="restart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14" w:type="dxa"/>
            <w:shd w:val="clear" w:color="FFFFFF" w:fill="auto"/>
            <w:textDirection w:val="lrTb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2442" w:type="dxa"/>
            <w:vMerge w:val="continue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О.А. Аншакова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14" w:type="dxa"/>
            <w:shd w:val="clear" w:color="FFFFFF" w:fill="auto"/>
            <w:textDirection w:val="lrTb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4017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4017" w:type="dxa"/>
            <w:gridSpan w:val="4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vMerge w:val="restart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</w:t>
              <w:br/>
              <w:t>
 (уполномоченное лицо)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vMerge w:val="continue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</w:t>
              <w:br/>
              <w:t>
 (уполномоченное лицо)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33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1733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